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澳大利亚昆士兰大学 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2020冬季访学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语言文化课程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sz w:val="28"/>
          <w:szCs w:val="28"/>
        </w:rPr>
        <w:t>University of Queensland</w:t>
      </w:r>
    </w:p>
    <w:p>
      <w:pPr>
        <w:widowControl/>
        <w:spacing w:line="360" w:lineRule="auto"/>
        <w:jc w:val="center"/>
        <w:rPr>
          <w:rFonts w:hint="eastAsia" w:asciiTheme="minorHAnsi" w:hAnsiTheme="minorHAnsi" w:eastAsiaTheme="majorEastAsia" w:cstheme="minorHAnsi"/>
          <w:sz w:val="28"/>
          <w:szCs w:val="28"/>
        </w:rPr>
      </w:pPr>
      <w:r>
        <w:rPr>
          <w:rFonts w:hint="eastAsia" w:asciiTheme="minorHAnsi" w:hAnsiTheme="minorHAnsi" w:eastAsiaTheme="majorEastAsia" w:cstheme="minorHAnsi"/>
          <w:sz w:val="28"/>
          <w:szCs w:val="28"/>
        </w:rPr>
        <w:t>English Language Programs</w:t>
      </w:r>
    </w:p>
    <w:p>
      <w:pPr>
        <w:widowControl/>
        <w:spacing w:line="360" w:lineRule="auto"/>
        <w:jc w:val="center"/>
        <w:rPr>
          <w:rFonts w:asciiTheme="minorAscii" w:hAnsiTheme="minorHAnsi" w:eastAsiaTheme="majorEastAsia" w:cstheme="minorHAnsi"/>
          <w:b/>
          <w:kern w:val="0"/>
          <w:szCs w:val="21"/>
        </w:rPr>
      </w:pPr>
      <w:r>
        <w:rPr>
          <w:rFonts w:cs="Calibri" w:asciiTheme="minorAscii" w:hAnsiTheme="minorHAnsi"/>
          <w:b/>
          <w:kern w:val="0"/>
          <w:szCs w:val="21"/>
        </w:rPr>
        <w:t>20</w:t>
      </w:r>
      <w:r>
        <w:rPr>
          <w:rFonts w:hint="eastAsia" w:cs="Calibri" w:asciiTheme="minorAscii" w:hAnsiTheme="minorHAnsi"/>
          <w:b/>
          <w:kern w:val="0"/>
          <w:szCs w:val="21"/>
        </w:rPr>
        <w:t>20</w:t>
      </w:r>
      <w:r>
        <w:rPr>
          <w:rFonts w:cs="Calibri" w:asciiTheme="minorAscii" w:hAnsiTheme="minorHAnsi"/>
          <w:b/>
          <w:kern w:val="0"/>
          <w:szCs w:val="21"/>
        </w:rPr>
        <w:t>年</w:t>
      </w:r>
      <w:r>
        <w:rPr>
          <w:rFonts w:hint="eastAsia" w:cs="Calibri" w:asciiTheme="minorAscii" w:hAnsiTheme="minorHAnsi"/>
          <w:b/>
          <w:kern w:val="0"/>
          <w:szCs w:val="21"/>
        </w:rPr>
        <w:t xml:space="preserve">1月6日 </w:t>
      </w:r>
      <w:r>
        <w:rPr>
          <w:rFonts w:cs="Calibri" w:asciiTheme="minorAscii" w:hAnsiTheme="minorHAnsi"/>
          <w:b/>
          <w:kern w:val="0"/>
          <w:szCs w:val="21"/>
        </w:rPr>
        <w:t xml:space="preserve">– </w:t>
      </w:r>
      <w:r>
        <w:rPr>
          <w:rFonts w:hint="eastAsia" w:cs="Calibri" w:asciiTheme="minorAscii" w:hAnsiTheme="minorHAnsi"/>
          <w:b/>
          <w:kern w:val="0"/>
          <w:szCs w:val="21"/>
        </w:rPr>
        <w:t>2月7日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昆士兰大学的继续教育与对外英语教学学院（Institute of Continuing &amp; TESOL Education）成立于1981年, 具备超过30年的丰富教学经验，屡获澳洲教育培训领域的殊荣，每年为近8,000名来自世界各地的学生提供各类优质的英语学习与培训项目，满足不同的学习需求。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参加昆士兰大学2020年冬季访学项目的学生，可以选择参加通用英语（General English）、或国际商务沟通英语（English for International Business Communication）、或学术英语（English for Academic English）。项目学生与昆士兰大学在读语言学生混合编班，由昆士兰大学进行统一的学术管理与学术考核，获得昆士兰大学正式成绩单。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全美国际教育协会作为昆士兰大学在中国的正式授权机构，负责选拔优秀中国大学生，于2020年冬季前往昆士兰大学参加为期5周的语言课程项目。项目学生通过5周的学习，将迅速提升自身的英语水平，同时体验澳大利亚的社会与文化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kern w:val="0"/>
          <w:szCs w:val="21"/>
        </w:rPr>
      </w:pPr>
    </w:p>
    <w:p>
      <w:pPr>
        <w:widowControl/>
        <w:spacing w:line="360" w:lineRule="auto"/>
        <w:ind w:firstLine="420"/>
        <w:jc w:val="left"/>
        <w:rPr>
          <w:rFonts w:ascii="Calibri" w:hAnsi="Calibri"/>
        </w:rPr>
      </w:pPr>
      <w:r>
        <w:rPr>
          <w:rFonts w:hint="eastAsia" w:ascii="宋体" w:hAnsi="宋体" w:eastAsia="宋体" w:cs="宋体"/>
          <w:sz w:val="21"/>
          <w:szCs w:val="21"/>
        </w:rPr>
        <w:t>2019年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寒假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昆士兰大学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访学项目</w:t>
      </w:r>
      <w:r>
        <w:rPr>
          <w:rFonts w:hint="eastAsia" w:ascii="宋体" w:hAnsi="宋体" w:eastAsia="宋体" w:cs="宋体"/>
          <w:sz w:val="21"/>
          <w:szCs w:val="21"/>
        </w:rPr>
        <w:t>，我校选拔名额为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名，报名截止日期为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月15日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项目将会在全国范围内启动选拔，一旦录满，即刻停止报名。</w:t>
      </w:r>
    </w:p>
    <w:p>
      <w:pPr>
        <w:widowControl/>
        <w:spacing w:line="360" w:lineRule="auto"/>
        <w:jc w:val="left"/>
        <w:rPr>
          <w:rFonts w:asciiTheme="minorHAnsi" w:hAnsiTheme="minorHAns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【体验澳洲纯正英语课程】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参加澳大利亚名校的优质语言课程，每周20学时强化学习，有效提升语言技巧；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hint="eastAsia" w:cs="Calibri" w:asciiTheme="minorHAnsi" w:hAnsiTheme="minorHAnsi"/>
          <w:szCs w:val="21"/>
        </w:rPr>
        <w:t>大学成绩单和项目证书】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昆士兰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颁发的成绩单与项目证书，为个人履历添砖加瓦；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【和国际学生一起上课，结交各国好友】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与来自其它国家的学生共同学习、提高跨文化沟通技能，收获知识与友谊；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【尽享校园设施与资源】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 xml:space="preserve"> 获得</w:t>
      </w:r>
      <w:r>
        <w:rPr>
          <w:rFonts w:hint="eastAsia" w:asciiTheme="minorHAnsi" w:hAnsiTheme="minorHAnsi" w:eastAsiaTheme="majorEastAsia" w:cstheme="minorHAnsi"/>
          <w:szCs w:val="21"/>
        </w:rPr>
        <w:t>昆士兰大学</w:t>
      </w:r>
      <w:r>
        <w:rPr>
          <w:rFonts w:hint="eastAsia" w:cs="Calibri" w:asciiTheme="minorHAnsi" w:hAnsiTheme="minorHAnsi"/>
          <w:szCs w:val="21"/>
        </w:rPr>
        <w:t>学生证，</w:t>
      </w:r>
      <w:r>
        <w:rPr>
          <w:rFonts w:hint="eastAsia" w:asciiTheme="minorHAnsi" w:hAnsiTheme="minorHAnsi" w:eastAsiaTheme="majorEastAsia" w:cstheme="minorHAnsi"/>
          <w:szCs w:val="21"/>
        </w:rPr>
        <w:t>按校方规定充分享受各类校园设施与教育资源</w:t>
      </w:r>
      <w:r>
        <w:rPr>
          <w:rFonts w:hint="eastAsia" w:cs="Calibri" w:asciiTheme="minorHAnsi" w:hAnsiTheme="minorHAnsi"/>
          <w:szCs w:val="21"/>
        </w:rPr>
        <w:t>；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【丰富的文化活动体验】</w:t>
      </w:r>
    </w:p>
    <w:p>
      <w:pPr>
        <w:pStyle w:val="19"/>
        <w:widowControl/>
        <w:numPr>
          <w:ilvl w:val="0"/>
          <w:numId w:val="0"/>
        </w:numPr>
        <w:spacing w:line="360" w:lineRule="auto"/>
        <w:ind w:left="420" w:left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丰富多彩的澳大利亚文化体验，畅游布里斯班与黄金海岸的特色景点。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昆士兰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cs="Arial" w:asciiTheme="minorHAnsi" w:hAnsiTheme="minorHAnsi"/>
          <w:color w:val="333333"/>
          <w:kern w:val="0"/>
          <w:szCs w:val="21"/>
        </w:rPr>
        <w:t>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909</w:t>
      </w:r>
      <w:r>
        <w:rPr>
          <w:rFonts w:cs="Arial" w:asciiTheme="minorHAnsi" w:hAnsiTheme="minorHAnsi"/>
          <w:color w:val="333333"/>
          <w:kern w:val="0"/>
          <w:szCs w:val="21"/>
        </w:rPr>
        <w:t>年，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澳大利亚</w:t>
      </w:r>
      <w:r>
        <w:rPr>
          <w:rFonts w:cs="Arial" w:asciiTheme="minorHAnsi" w:hAnsiTheme="minorHAnsi"/>
          <w:color w:val="333333"/>
          <w:kern w:val="0"/>
          <w:szCs w:val="21"/>
        </w:rPr>
        <w:t>顶尖学府，</w:t>
      </w:r>
      <w:r>
        <w:rPr>
          <w:rFonts w:cs="Arial" w:asciiTheme="minorHAnsi" w:hAnsiTheme="minorHAnsi"/>
          <w:color w:val="333333"/>
          <w:szCs w:val="21"/>
          <w:shd w:val="clear" w:color="auto" w:fill="FFFFFF"/>
        </w:rPr>
        <w:t>澳大利亚菁英大学集团 Group of Eight （八大名校联盟）的成员之一</w:t>
      </w:r>
      <w:r>
        <w:rPr>
          <w:rFonts w:hint="eastAsia" w:ascii="Arial" w:hAnsi="Arial" w:cs="Arial"/>
          <w:color w:val="333333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2019美国新闻与世界报道全球大学综合排名第45；2019 QS世界大学排名第48；2018上海交大世界大学学术排名第55；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下设六所学院，拥有八所世界顶级的研究所，学生数量超过5万2千人；教学质量与学术声誉卓著，是荣获教学类奖项最多的澳洲大学；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asciiTheme="minorHAnsi" w:hAnsiTheme="minorHAnsi"/>
        </w:rPr>
        <w:t>强势专业包括环境</w:t>
      </w:r>
      <w:r>
        <w:rPr>
          <w:rFonts w:hint="eastAsia" w:asciiTheme="minorHAnsi" w:hAnsiTheme="minorHAnsi"/>
        </w:rPr>
        <w:t>/生态学、</w:t>
      </w:r>
      <w:r>
        <w:rPr>
          <w:rFonts w:asciiTheme="minorHAnsi" w:hAnsiTheme="minorHAnsi"/>
        </w:rPr>
        <w:t>作物与动物科学</w:t>
      </w:r>
      <w:r>
        <w:rPr>
          <w:rFonts w:hint="eastAsia" w:asciiTheme="minorHAnsi" w:hAnsiTheme="minorHAnsi"/>
        </w:rPr>
        <w:t>、农业科学、</w:t>
      </w:r>
      <w:r>
        <w:rPr>
          <w:rFonts w:asciiTheme="minorHAnsi" w:hAnsiTheme="minorHAnsi"/>
        </w:rPr>
        <w:t>社会科学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生物与生物化学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经济学与商科等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661670</wp:posOffset>
            </wp:positionV>
            <wp:extent cx="5274310" cy="2101850"/>
            <wp:effectExtent l="0" t="0" r="889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/>
        </w:rPr>
        <w:t>学校位于澳大利亚东南部的旅游名城布里斯班，毗邻著名的黄金海岸</w:t>
      </w:r>
      <w:r>
        <w:rPr>
          <w:rFonts w:asciiTheme="minorHAnsi" w:hAnsiTheme="minorHAnsi"/>
        </w:rPr>
        <w:t>，</w:t>
      </w:r>
      <w:r>
        <w:rPr>
          <w:rFonts w:ascii="Arial" w:hAnsi="Arial" w:cs="Arial"/>
          <w:color w:val="333333"/>
          <w:szCs w:val="21"/>
          <w:shd w:val="clear" w:color="auto" w:fill="FFFFFF"/>
        </w:rPr>
        <w:t>气候温和，四季宜人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，</w:t>
      </w:r>
      <w:r>
        <w:rPr>
          <w:rFonts w:hint="eastAsia" w:asciiTheme="minorHAnsi" w:hAnsiTheme="minorHAnsi"/>
        </w:rPr>
        <w:t>是</w:t>
      </w:r>
      <w:r>
        <w:rPr>
          <w:rFonts w:asciiTheme="minorHAnsi" w:hAnsiTheme="minorHAnsi"/>
        </w:rPr>
        <w:t>澳洲最宜居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同时也是生活成本最低的城市之一</w:t>
      </w:r>
      <w:r>
        <w:rPr>
          <w:rFonts w:hint="eastAsia" w:asciiTheme="minorHAnsi" w:hAnsiTheme="minorHAnsi"/>
          <w:lang w:eastAsia="zh-CN"/>
        </w:rPr>
        <w:t>；</w:t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项目详情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b w:val="0"/>
          <w:bCs/>
          <w:szCs w:val="21"/>
        </w:rPr>
      </w:pPr>
      <w:r>
        <w:rPr>
          <w:rFonts w:hint="eastAsia" w:asciiTheme="minorHAnsi" w:hAnsiTheme="minorHAnsi" w:eastAsiaTheme="majorEastAsia" w:cstheme="minorHAnsi"/>
          <w:b w:val="0"/>
          <w:bCs/>
          <w:szCs w:val="21"/>
        </w:rPr>
        <w:t xml:space="preserve">2020年1月6日 </w:t>
      </w:r>
      <w:r>
        <w:rPr>
          <w:rFonts w:asciiTheme="minorHAnsi" w:hAnsiTheme="minorHAnsi" w:eastAsiaTheme="majorEastAsia" w:cstheme="minorHAnsi"/>
          <w:b w:val="0"/>
          <w:bCs/>
          <w:szCs w:val="21"/>
        </w:rPr>
        <w:t>–</w:t>
      </w:r>
      <w:r>
        <w:rPr>
          <w:rFonts w:hint="eastAsia" w:asciiTheme="minorHAnsi" w:hAnsiTheme="minorHAnsi" w:eastAsiaTheme="majorEastAsia" w:cstheme="minorHAnsi"/>
          <w:b w:val="0"/>
          <w:bCs/>
          <w:szCs w:val="21"/>
        </w:rPr>
        <w:t xml:space="preserve"> 2月7日（5周）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</w:p>
    <w:p>
      <w:pPr>
        <w:pStyle w:val="19"/>
        <w:widowControl/>
        <w:numPr>
          <w:ilvl w:val="0"/>
          <w:numId w:val="3"/>
        </w:numPr>
        <w:spacing w:line="360" w:lineRule="auto"/>
        <w:ind w:left="224" w:leftChars="102" w:hanging="10" w:firstLineChars="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u w:val="single"/>
        </w:rPr>
        <w:t>通用英语</w:t>
      </w:r>
      <w:r>
        <w:rPr>
          <w:rFonts w:hint="eastAsia" w:ascii="宋体" w:hAnsi="宋体" w:eastAsia="宋体" w:cs="宋体"/>
          <w:szCs w:val="21"/>
        </w:rPr>
        <w:t>（General English）</w:t>
      </w:r>
      <w:r>
        <w:rPr>
          <w:rFonts w:hint="eastAsia" w:ascii="宋体" w:hAnsi="宋体" w:eastAsia="宋体" w:cs="宋体"/>
          <w:szCs w:val="21"/>
          <w:u w:val="single"/>
        </w:rPr>
        <w:br w:type="textWrapping"/>
      </w:r>
      <w:r>
        <w:rPr>
          <w:rFonts w:hint="eastAsia" w:ascii="宋体" w:hAnsi="宋体" w:eastAsia="宋体" w:cs="宋体"/>
          <w:szCs w:val="21"/>
        </w:rPr>
        <w:t xml:space="preserve">    本课程适合从初级到高级各个级别的英语学习者，旨在提升学生日常生活、工作或出行所需的英语综合运用能力，比如讨论新闻事件、分享意见、理解电影或网站的原文内容、撰写邮件或笔记、清晰准确地进行对话交流等。</w:t>
      </w:r>
    </w:p>
    <w:p>
      <w:pPr>
        <w:pStyle w:val="19"/>
        <w:widowControl/>
        <w:numPr>
          <w:ilvl w:val="0"/>
          <w:numId w:val="3"/>
        </w:numPr>
        <w:spacing w:line="360" w:lineRule="auto"/>
        <w:ind w:left="426" w:leftChars="103" w:hanging="210" w:hangingChars="1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>国际商务沟通英语</w:t>
      </w:r>
      <w:r>
        <w:rPr>
          <w:rFonts w:hint="eastAsia" w:ascii="宋体" w:hAnsi="宋体" w:eastAsia="宋体" w:cs="宋体"/>
          <w:szCs w:val="21"/>
        </w:rPr>
        <w:t>（English for International Business Communication）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 xml:space="preserve">  本课程旨在提升学生在国际商务情境中的英语综合运用能力，学生将掌握商业专</w:t>
      </w:r>
    </w:p>
    <w:p>
      <w:pPr>
        <w:widowControl/>
        <w:spacing w:line="360" w:lineRule="auto"/>
        <w:ind w:left="210" w:leftChars="100" w:firstLine="1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业术语与实践，提高商务演讲技巧，学习撰写不同类型的商务文件，以及如何积极地参与商务会议。课程共分为两个级别。</w:t>
      </w:r>
    </w:p>
    <w:p>
      <w:pPr>
        <w:pStyle w:val="19"/>
        <w:widowControl/>
        <w:numPr>
          <w:ilvl w:val="0"/>
          <w:numId w:val="3"/>
        </w:numPr>
        <w:spacing w:line="360" w:lineRule="auto"/>
        <w:ind w:left="426" w:leftChars="103" w:hanging="210" w:hangingChars="1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>学术英语</w:t>
      </w:r>
      <w:r>
        <w:rPr>
          <w:rFonts w:hint="eastAsia" w:ascii="宋体" w:hAnsi="宋体" w:eastAsia="宋体" w:cs="宋体"/>
          <w:szCs w:val="21"/>
        </w:rPr>
        <w:t>（English for Academic English）</w:t>
      </w:r>
    </w:p>
    <w:p>
      <w:pPr>
        <w:pStyle w:val="19"/>
        <w:widowControl/>
        <w:spacing w:line="360" w:lineRule="auto"/>
        <w:ind w:left="424" w:leftChars="202" w:firstLine="210" w:firstLineChars="1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本课程适合希望提升实用学术英语水平的学生。通过学习，学生可以更加自信地</w:t>
      </w:r>
    </w:p>
    <w:p>
      <w:pPr>
        <w:widowControl/>
        <w:spacing w:line="360" w:lineRule="auto"/>
        <w:ind w:left="426" w:leftChars="103" w:hanging="210" w:hangingChars="1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参加学术讲座、记录笔记、撰写学术文章、阅读学术内容、参与学术讨论以及进行学</w:t>
      </w:r>
    </w:p>
    <w:p>
      <w:pPr>
        <w:widowControl/>
        <w:spacing w:line="360" w:lineRule="auto"/>
        <w:ind w:left="426" w:leftChars="103" w:hanging="210" w:hangingChars="1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术演示。课程共分为三个级别。</w:t>
      </w:r>
    </w:p>
    <w:p>
      <w:pPr>
        <w:widowControl/>
        <w:spacing w:line="360" w:lineRule="auto"/>
        <w:ind w:left="218" w:leftChars="104" w:firstLine="401" w:firstLineChars="191"/>
        <w:jc w:val="left"/>
        <w:rPr>
          <w:rFonts w:hint="eastAsia" w:ascii="宋体" w:hAnsi="宋体" w:eastAsia="宋体" w:cs="宋体"/>
          <w:szCs w:val="21"/>
        </w:rPr>
      </w:pPr>
    </w:p>
    <w:p>
      <w:pPr>
        <w:widowControl/>
        <w:spacing w:line="360" w:lineRule="auto"/>
        <w:ind w:left="218" w:leftChars="104" w:firstLine="401" w:firstLineChars="191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="宋体" w:hAnsi="宋体" w:eastAsia="宋体" w:cs="宋体"/>
          <w:szCs w:val="21"/>
        </w:rPr>
        <w:t>昆士兰大学的语言文化课程每周的课时为约20小时， 每个班学生人数不超过18人，以保证最佳的教学效果。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31750</wp:posOffset>
            </wp:positionV>
            <wp:extent cx="4676775" cy="1946275"/>
            <wp:effectExtent l="0" t="0" r="952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文化活动</w:t>
      </w:r>
      <w:r>
        <w:rPr>
          <w:rFonts w:cs="Calibri" w:asciiTheme="minorHAnsi" w:hAnsiTheme="minorHAnsi"/>
          <w:szCs w:val="21"/>
        </w:rPr>
        <w:t>】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课堂之余，学生可以免费或付费参加语言中心或昆大组织的各类文化体验活动，比如合唱团、口语俱乐部、体育活动、舞蹈社团、瑜伽与冥想、摄影、创业协会等。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均可获得昆士兰大学正式注册的学生证，凭借学生证可在项目期内，按校方规定使用学校的校园设施与教育资源，包括图书馆、健身房、活动中心等。学生将入住由校方管理并安排的寄宿家庭（含餐），使学生能够更加近距离地体验当地社会文化，迅速提高自己的语言水平。</w:t>
      </w:r>
    </w:p>
    <w:p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3633470</wp:posOffset>
            </wp:positionH>
            <wp:positionV relativeFrom="paragraph">
              <wp:posOffset>245745</wp:posOffset>
            </wp:positionV>
            <wp:extent cx="1762125" cy="1200150"/>
            <wp:effectExtent l="0" t="0" r="3175" b="635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231775</wp:posOffset>
            </wp:positionV>
            <wp:extent cx="1828800" cy="1207135"/>
            <wp:effectExtent l="0" t="0" r="0" b="1206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245745</wp:posOffset>
            </wp:positionV>
            <wp:extent cx="1762125" cy="1188085"/>
            <wp:effectExtent l="0" t="0" r="3175" b="571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cs="Calibri" w:asciiTheme="minorHAnsi" w:hAnsiTheme="minorHAnsi"/>
          <w:szCs w:val="21"/>
        </w:rPr>
      </w:pPr>
    </w:p>
    <w:p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项目证书</w:t>
      </w:r>
      <w:r>
        <w:rPr>
          <w:rFonts w:cs="Calibri" w:asciiTheme="minorHAnsi" w:hAnsiTheme="minorHAnsi"/>
          <w:szCs w:val="21"/>
        </w:rPr>
        <w:t>】</w:t>
      </w:r>
    </w:p>
    <w:p>
      <w:pPr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顺利完成所有课程，并通过学术考核的学生，将获得昆士兰大学出具的正式成绩单及学习证明。</w:t>
      </w: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-735330</wp:posOffset>
            </wp:positionV>
            <wp:extent cx="2342515" cy="2972435"/>
            <wp:effectExtent l="0" t="0" r="6985" b="1206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ind w:firstLine="420" w:firstLineChars="200"/>
        <w:rPr>
          <w:rFonts w:ascii="Calibri" w:hAnsi="Calibri" w:cs="Calibri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图：昆士兰大学语言文化课程项目证书样图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779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7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379" w:type="dxa"/>
          </w:tcPr>
          <w:p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约3,468澳元（约合人民币1.66万元）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379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申请费、学费、学生服务费、医疗保险、与项目设计管理费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</w:tcPr>
          <w:p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379" w:type="dxa"/>
          </w:tcPr>
          <w:p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国际机票、签证、住宿费与餐费、其它个人花费</w:t>
            </w:r>
          </w:p>
          <w:p>
            <w:r>
              <w:rPr>
                <w:rFonts w:hint="eastAsia" w:asciiTheme="minorHAnsi" w:hAnsiTheme="minorHAnsi" w:eastAsiaTheme="majorEastAsia" w:cstheme="minorHAnsi"/>
                <w:szCs w:val="21"/>
              </w:rPr>
              <w:t>注：参加语言文化课程的学生，可入住昆士兰大学管理的寄宿家庭，费用约为每周260澳元</w:t>
            </w:r>
          </w:p>
        </w:tc>
      </w:tr>
    </w:tbl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仅限本校全日制在校生；且成绩优异、道德品质好，在校期间未受过纪律处分，身心健康，能顺利完成海外学习任务；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英语要求：具有良好的英语基础。入学参加昆士兰大学语言分级测试；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“国际商务沟通英语”需达到托福56（口语15，听力12）、或雅思5.0（单项不低于5.0）、或在分级测试中达到通用英语5级水平；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“学术英语”需达到托福56（口语15，听力12、阅读12，写作17）、或雅思5.0 （单项不低于5.0）、或在分级测试中达到通用英语5级水平；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通过全美国际教育协会的项目面试、澳方大学的学术审核、以及我校院系及国际交流处的派出资格审核。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学生本人提出申请，在学校国际合作交流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与合作</w:t>
      </w:r>
      <w:r>
        <w:rPr>
          <w:rFonts w:hint="eastAsia" w:ascii="宋体" w:hAnsi="宋体" w:eastAsia="宋体" w:cs="宋体"/>
          <w:kern w:val="0"/>
          <w:szCs w:val="21"/>
        </w:rPr>
        <w:t>处报名；</w:t>
      </w:r>
    </w:p>
    <w:p>
      <w:pPr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同时登录项目选拔管理机构 -- 全美国际教育协会网站www.usiea.org填写《世界名校访学2019-2020学年冬春项目报名表》，网上报名的时间决定录取的顺序和安排宿舍的顺序；</w:t>
      </w:r>
    </w:p>
    <w:p>
      <w:pPr>
        <w:pStyle w:val="19"/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学生申请资料经初步审核后，参加面试确定预录取名单；</w:t>
      </w:r>
    </w:p>
    <w:p>
      <w:pPr>
        <w:pStyle w:val="19"/>
        <w:numPr>
          <w:ilvl w:val="0"/>
          <w:numId w:val="6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学生提交正式申请材料并缴纳项目费用，获得学校录取及签证后赴澳学习；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1"/>
          <w:szCs w:val="21"/>
        </w:rPr>
        <w:t>申请截止日期：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 xml:space="preserve"> 201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月15日</w:t>
      </w:r>
    </w:p>
    <w:p>
      <w:pPr>
        <w:pStyle w:val="19"/>
        <w:spacing w:line="360" w:lineRule="auto"/>
        <w:ind w:left="281" w:firstLine="0" w:firstLineChars="0"/>
        <w:jc w:val="left"/>
        <w:rPr>
          <w:rFonts w:ascii="Calibri" w:hAnsi="Calibri" w:cs="Calibri"/>
          <w:sz w:val="22"/>
        </w:rPr>
      </w:pPr>
    </w:p>
    <w:p>
      <w:pPr>
        <w:widowControl/>
        <w:spacing w:line="360" w:lineRule="auto"/>
        <w:jc w:val="left"/>
        <w:rPr>
          <w:rStyle w:val="14"/>
          <w:rFonts w:cs="宋体" w:asciiTheme="minorHAnsi" w:hAnsiTheme="minorHAnsi"/>
          <w:color w:val="auto"/>
          <w:kern w:val="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b/>
          <w:color w:val="auto"/>
          <w:kern w:val="0"/>
          <w:sz w:val="20"/>
          <w:szCs w:val="21"/>
        </w:rPr>
        <w:t>关于全美国际教育协会</w:t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t>www.usiea.org</w:t>
      </w:r>
      <w:r>
        <w:rPr>
          <w:rStyle w:val="14"/>
          <w:rFonts w:hint="eastAsia" w:cs="宋体" w:asciiTheme="minorHAnsi" w:hAnsiTheme="minorHAnsi"/>
          <w:b/>
          <w:kern w:val="0"/>
          <w:sz w:val="20"/>
          <w:szCs w:val="21"/>
        </w:rPr>
        <w:fldChar w:fldCharType="end"/>
      </w:r>
    </w:p>
    <w:p>
      <w:pPr>
        <w:widowControl/>
        <w:jc w:val="left"/>
        <w:rPr>
          <w:rStyle w:val="14"/>
          <w:rFonts w:cs="宋体" w:asciiTheme="minorHAnsi" w:hAnsiTheme="minorHAnsi"/>
          <w:b/>
          <w:color w:val="auto"/>
          <w:kern w:val="0"/>
          <w:sz w:val="20"/>
          <w:szCs w:val="21"/>
        </w:rPr>
      </w:pPr>
    </w:p>
    <w:p>
      <w:pPr>
        <w:widowControl/>
        <w:jc w:val="left"/>
        <w:rPr>
          <w:rStyle w:val="14"/>
          <w:rFonts w:cs="宋体" w:asciiTheme="minorHAnsi" w:hAnsiTheme="minorHAnsi"/>
          <w:color w:val="auto"/>
          <w:kern w:val="0"/>
          <w:sz w:val="20"/>
          <w:szCs w:val="21"/>
        </w:rPr>
      </w:pPr>
      <w:r>
        <w:rPr>
          <w:rStyle w:val="14"/>
          <w:rFonts w:hint="eastAsia" w:cs="宋体" w:asciiTheme="minorHAnsi" w:hAnsiTheme="minorHAnsi"/>
          <w:color w:val="auto"/>
          <w:kern w:val="0"/>
          <w:sz w:val="20"/>
          <w:szCs w:val="21"/>
        </w:rPr>
        <w:t>US International Education Association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士大学、阿德莱德大学等20多所世界级名校的委托，与中国80多所高校合作选拔品学兼优的学生赴海外参加访学项目。</w:t>
      </w:r>
    </w:p>
    <w:p>
      <w:pPr>
        <w:widowControl/>
        <w:jc w:val="left"/>
        <w:rPr>
          <w:rFonts w:cs="宋体" w:asciiTheme="minorHAnsi" w:hAnsiTheme="minorHAnsi"/>
          <w:kern w:val="0"/>
          <w:sz w:val="20"/>
          <w:szCs w:val="21"/>
        </w:rPr>
      </w:pPr>
    </w:p>
    <w:p>
      <w:pPr>
        <w:widowControl/>
        <w:jc w:val="left"/>
        <w:rPr>
          <w:rFonts w:hint="eastAsia" w:cs="宋体" w:asciiTheme="minorHAnsi" w:hAnsiTheme="minorHAnsi"/>
          <w:kern w:val="0"/>
          <w:sz w:val="20"/>
          <w:szCs w:val="21"/>
        </w:rPr>
      </w:pPr>
      <w:r>
        <w:rPr>
          <w:rFonts w:hint="eastAsia" w:cs="宋体" w:asciiTheme="minorHAnsi" w:hAnsiTheme="minorHAnsi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>
      <w:pPr>
        <w:widowControl/>
        <w:jc w:val="left"/>
        <w:rPr>
          <w:rFonts w:hint="eastAsia" w:cs="宋体" w:asciiTheme="minorHAnsi" w:hAnsiTheme="minorHAnsi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bCs/>
          <w:kern w:val="0"/>
          <w:sz w:val="20"/>
          <w:szCs w:val="20"/>
        </w:rPr>
        <w:t>咨询电话：</w:t>
      </w:r>
      <w:r>
        <w:rPr>
          <w:rFonts w:hint="eastAsia" w:ascii="宋体" w:hAnsi="宋体" w:eastAsia="宋体" w:cs="宋体"/>
          <w:kern w:val="0"/>
          <w:sz w:val="20"/>
          <w:szCs w:val="20"/>
        </w:rPr>
        <w:t>国际交流与合作处 028-85966899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全美国际教育协会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 17358513797 黄老师 </w:t>
      </w:r>
      <w:r>
        <w:rPr>
          <w:rFonts w:hint="eastAsia" w:ascii="宋体" w:hAnsi="宋体" w:eastAsia="宋体" w:cs="宋体"/>
          <w:kern w:val="0"/>
          <w:sz w:val="20"/>
          <w:szCs w:val="20"/>
        </w:rPr>
        <w:t>18988936428李老师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028-61983024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（周一至周五 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0"/>
          <w:szCs w:val="20"/>
        </w:rPr>
        <w:t>: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</w:rPr>
        <w:t>0—1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0"/>
          <w:szCs w:val="20"/>
        </w:rPr>
        <w:t>: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</w:rPr>
        <w:t>0）</w:t>
      </w: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"mailto:visituq@yeah.net" </w:instrText>
      </w:r>
      <w:r>
        <w:fldChar w:fldCharType="separate"/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t>visituq@yeah.net</w:t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fldChar w:fldCharType="end"/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CA3A09"/>
    <w:multiLevelType w:val="singleLevel"/>
    <w:tmpl w:val="E0CA3A0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F993104"/>
    <w:multiLevelType w:val="singleLevel"/>
    <w:tmpl w:val="EF99310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37270CB5"/>
    <w:multiLevelType w:val="multilevel"/>
    <w:tmpl w:val="37270CB5"/>
    <w:lvl w:ilvl="0" w:tentative="0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94F4CFD"/>
    <w:multiLevelType w:val="multilevel"/>
    <w:tmpl w:val="394F4CFD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 w:eastAsia="宋体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9EE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DCA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37A33"/>
    <w:rsid w:val="004469A3"/>
    <w:rsid w:val="0045270B"/>
    <w:rsid w:val="0045275F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2979"/>
    <w:rsid w:val="005B5847"/>
    <w:rsid w:val="005B5D60"/>
    <w:rsid w:val="005B69C2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2482C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19B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3080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E70"/>
    <w:rsid w:val="00BF00E9"/>
    <w:rsid w:val="00BF460C"/>
    <w:rsid w:val="00BF535E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46B9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1BF2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1DE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6BB"/>
    <w:rsid w:val="00F979AC"/>
    <w:rsid w:val="00FA02CE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D6404"/>
    <w:rsid w:val="00FE1AA9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359C5BA2"/>
    <w:rsid w:val="4B0920D1"/>
    <w:rsid w:val="537B016E"/>
    <w:rsid w:val="62471AB3"/>
    <w:rsid w:val="6607647B"/>
    <w:rsid w:val="69D50EDA"/>
    <w:rsid w:val="6C14464C"/>
    <w:rsid w:val="715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82EFD-87E2-4BB3-8DD1-BAB7C0313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487</Words>
  <Characters>2780</Characters>
  <Lines>23</Lines>
  <Paragraphs>6</Paragraphs>
  <TotalTime>8</TotalTime>
  <ScaleCrop>false</ScaleCrop>
  <LinksUpToDate>false</LinksUpToDate>
  <CharactersWithSpaces>3261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2019-03-29T08:14:00Z</dcterms:created>
  <dc:creator>全美国际教育协会</dc:creator>
  <cp:lastModifiedBy>USIEA-Melody</cp:lastModifiedBy>
  <cp:lastPrinted>2011-12-16T08:54:00Z</cp:lastPrinted>
  <dcterms:modified xsi:type="dcterms:W3CDTF">2019-07-15T03:23:21Z</dcterms:modified>
  <dc:title>加州大学河滨分校短期访学项目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